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hyperlink r:id="rId5">
        <w:r w:rsidDel="00000000" w:rsidR="00000000" w:rsidRPr="00000000">
          <w:rPr>
            <w:rFonts w:ascii="Trebuchet MS" w:cs="Trebuchet MS" w:eastAsia="Trebuchet MS" w:hAnsi="Trebuchet MS"/>
            <w:color w:val="1155cc"/>
            <w:sz w:val="19"/>
            <w:szCs w:val="19"/>
            <w:highlight w:val="white"/>
            <w:u w:val="single"/>
            <w:rtl w:val="0"/>
          </w:rPr>
          <w:t xml:space="preserve">https://www.omvq.qc.ca/nouvelles-membre/nouvelles-et-evenements/161-encadrement-des-chiens-dangereux-devoirs-deontologiques-et-demandes-aux-autorites.html</w:t>
        </w:r>
      </w:hyperlink>
    </w:p>
    <w:p w:rsidR="00000000" w:rsidDel="00000000" w:rsidP="00000000" w:rsidRDefault="00000000" w:rsidRPr="00000000">
      <w:pPr>
        <w:contextualSpacing w:val="0"/>
      </w:pPr>
      <w:hyperlink r:id="rId6">
        <w:r w:rsidDel="00000000" w:rsidR="00000000" w:rsidRPr="00000000">
          <w:rPr>
            <w:rtl w:val="0"/>
          </w:rPr>
        </w:r>
      </w:hyperlink>
    </w:p>
    <w:p w:rsidR="00000000" w:rsidDel="00000000" w:rsidP="00000000" w:rsidRDefault="00000000" w:rsidRPr="00000000">
      <w:pPr>
        <w:pStyle w:val="Heading1"/>
        <w:keepNext w:val="0"/>
        <w:keepLines w:val="0"/>
        <w:spacing w:after="200" w:before="0" w:line="288" w:lineRule="auto"/>
        <w:contextualSpacing w:val="0"/>
      </w:pPr>
      <w:bookmarkStart w:colFirst="0" w:colLast="0" w:name="_pt25qiyhz0q" w:id="0"/>
      <w:bookmarkEnd w:id="0"/>
      <w:r w:rsidDel="00000000" w:rsidR="00000000" w:rsidRPr="00000000">
        <w:rPr>
          <w:rFonts w:ascii="Calibri" w:cs="Calibri" w:eastAsia="Calibri" w:hAnsi="Calibri"/>
          <w:b w:val="1"/>
          <w:color w:val="0083c2"/>
          <w:sz w:val="60"/>
          <w:szCs w:val="60"/>
          <w:shd w:fill="f5f5f5" w:val="clear"/>
          <w:rtl w:val="0"/>
        </w:rPr>
        <w:t xml:space="preserve">Encadrement des chiens dangereux : devoirs déontologiques et demandes aux autorités</w:t>
      </w:r>
    </w:p>
    <w:p w:rsidR="00000000" w:rsidDel="00000000" w:rsidP="00000000" w:rsidRDefault="00000000" w:rsidRPr="00000000">
      <w:pPr>
        <w:contextualSpacing w:val="0"/>
      </w:pPr>
      <w:r w:rsidDel="00000000" w:rsidR="00000000" w:rsidRPr="00000000">
        <w:rPr>
          <w:rFonts w:ascii="Calibri" w:cs="Calibri" w:eastAsia="Calibri" w:hAnsi="Calibri"/>
          <w:color w:val="959595"/>
          <w:sz w:val="20"/>
          <w:szCs w:val="20"/>
          <w:shd w:fill="f5f5f5" w:val="clear"/>
          <w:rtl w:val="0"/>
        </w:rPr>
        <w:t xml:space="preserve">19 SEPTEMBRE 2016</w:t>
      </w:r>
    </w:p>
    <w:p w:rsidR="00000000" w:rsidDel="00000000" w:rsidP="00000000" w:rsidRDefault="00000000" w:rsidRPr="00000000">
      <w:pPr>
        <w:spacing w:after="200" w:lineRule="auto"/>
        <w:contextualSpacing w:val="0"/>
      </w:pPr>
      <w:r w:rsidDel="00000000" w:rsidR="00000000" w:rsidRPr="00000000">
        <w:rPr>
          <w:rFonts w:ascii="Calibri" w:cs="Calibri" w:eastAsia="Calibri" w:hAnsi="Calibri"/>
          <w:sz w:val="26"/>
          <w:szCs w:val="26"/>
          <w:shd w:fill="f5f5f5" w:val="clear"/>
          <w:rtl w:val="0"/>
        </w:rPr>
        <w:t xml:space="preserve">Dans son approche et son analyse de ce dossier émotif et complexe, l’Ordre et le groupe de travail formé par le conseil d’administration ont priorisé la sécurité du public, un dérivé direct du mandat de protection du public de l’Ordre, tout en demeurant convaincus qu’il est possible et certainement compatible de mettre de l’avant la sécurité du public et d’assurer une saine cohabitation avec les chiens.</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Pour l’Ordre et les membres de son groupe de travail, le constat est clair et il a été clairement énoncé dans le rapport initial remis au comité ministériel, au début du mois de juillet. Un important changement de mentalité doit s’opérer où les campagnes de sensibilisation et d’éducation prendront tout leur sens. Ces campagnes doivent cibler les propriétaires de chien, les autorités, mais surtout les enfants et les autres personnes vulnérables. L’amélioration du contrôle des chiens dangereux passe d’abord par une application plus rigoureuse de la réglementation municipale déjà existante qui sera soutenue par l’élaboration de sanctions et pénalités plus sévères pour les contrevenants et particulièrement les propriétaires carrément délinquants. </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Les changements législatifs ou réglementaires qui se dessinent dans les plans des autorités viennent bousculer des valeurs personnelles, notre éthique professionnelle et nos obligations déontologiques. Néanmoins, une règle déontologique ne peut couvrir toutes les situations ou tous les cas, il s’agit de lignes directrices globales pour guider le professionnel. </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Le médecin vétérinaire a un devoir d’information envers la population, de même que l’obligation de tenir compte des conséquences que pourraient avoir ses opinions, ses actions et ses décisions. Le médecin vétérinaire doit être en mesure d’offrir des solutions de rechange à son client ou à la population. Cependant, la profession vétérinaire ne peut être tenue, seule, responsable des enjeux, des solutions et de leur application.</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Nous sommes en droit d’espérer que les autorités assumeront aussi les mêmes devoirs dans leur prise de décisions que ceux prévus à la déontologie vétérinaire. Il est impensable de demander à une profession de supporter l’entière responsabilité des décisions qui sont prises par d’autres instances. En respect de l’amélioration réelle de la sécurité du public, les autorités municipales et gouvernementales doivent assurer que les mesures sont raisonnables et applicables. Elles doivent tenir compte des répercussions de leurs décisions et en prévoir les conséquences. Les mesures et les solutions de rechange, lorsque nécessaires, doivent être développées pour assurer la faisabilité des orientations qui sont ou seront annoncées. En ce sens, la profession vétérinaire continuera d’offrir son entière collaboration aux autorités et aux intervenants, afin de continuer de faire évoluer la gestion animalière au Québec.</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u w:val="single"/>
          <w:shd w:fill="f5f5f5" w:val="clear"/>
          <w:rtl w:val="0"/>
        </w:rPr>
        <w:t xml:space="preserve">Identification, évaluation comportementale et euthanasie</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Historiquement, l’identification des chiens dans les dossiers patients était souvent basée sur les affirmations du propriétaire convaincu que son chien « avait l’air » d’un berger ou d’un labrador ou d’un terrier, sans pour autant détenir la certification de l’enregistrement de son chien auprès d’un organisme reconnu (canadien, américain, européen ou autre). Nul besoin de rappeler que les conséquences d’une telle identification de race ou de type ne sont plus les mêmes. Il y a là une lourde responsabilité liée à cette inscription au dossier d’un patient. L’affirmation de l’appartenance d’un chien à une race quelconque devra nécessairement être soutenue par un document reconnu certifiant la race. Dans le cas contraire, l’animal devra porter la mention de « croisé » qui pourrait s’ajouter à la race prédominante qu’il serait possible d’identifier dans certains cas.</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Le dossier d’un patient est un document légal, il est donc interdit de modifier les informations qui sont déjà existantes. Les animaux doivent tout de même être identifiés par leur dossier de façon aussi précise que possible. Le médecin vétérinaire doit faire preuve de transparence et d’intégrité. C’est pourquoi il ne peut cacher l’identité d’un chien ou contribuer à ce qu’une telle identification soit cachée. Ainsi, pour un chien « croisé », lorsque cela est visuellement possible et qu’un soupçon raisonnable existe quant à la prédominance d’une race, nous sommes d’avis que le dossier devrait pouvoir contenir cette information. Le médecin vétérinaire a toujours le loisir, dans la tenue du dossier, d’apporter des compléments d’information et les précisions nécessaires qui auront conduit à l’identification. Le médecin vétérinaire doit informer son client sur les tests ou autres moyens qui sont disponibles, avec leurs avantages et leurs limites, pouvant être utiles dans l’identification d’un chien. Cependant, il appartiendra aux autorités de donner les directives claires à la population et aux professionnels quant aux moyens qu’elles souhaiteront privilégier pour confirmer l’identification, puisque cette décision portera de lourdes conséquences dans un contexte d’interdiction d’une race ou d’un type de chiens. </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La question de l’évaluation de la dangerosité a également soulevé de nombreux commentaires et interrogations. L’Ordre a publié un avis à ce sujet, le 21 juillet dernier. Il est nécessaire ici d’apporter une importante précision. L’évaluation de la dangerosité d’un chien ou l’évaluation du comportement d’un chien peut définitivement être faite par un médecin vétérinaire dans les limites de ses compétences, dans la mesure où il peut apporter les nuances qui s’imposent dans son évaluation et ses recommandations. La mise en garde de l’Ordre tenait d’abord au fait qu’il est </w:t>
      </w:r>
      <w:r w:rsidDel="00000000" w:rsidR="00000000" w:rsidRPr="00000000">
        <w:rPr>
          <w:rFonts w:ascii="Calibri" w:cs="Calibri" w:eastAsia="Calibri" w:hAnsi="Calibri"/>
          <w:color w:val="555555"/>
          <w:sz w:val="23"/>
          <w:szCs w:val="23"/>
          <w:u w:val="single"/>
          <w:shd w:fill="f5f5f5" w:val="clear"/>
          <w:rtl w:val="0"/>
        </w:rPr>
        <w:t xml:space="preserve">impossible de certifier ou de garantir</w:t>
      </w:r>
      <w:r w:rsidDel="00000000" w:rsidR="00000000" w:rsidRPr="00000000">
        <w:rPr>
          <w:rFonts w:ascii="Calibri" w:cs="Calibri" w:eastAsia="Calibri" w:hAnsi="Calibri"/>
          <w:color w:val="555555"/>
          <w:sz w:val="23"/>
          <w:szCs w:val="23"/>
          <w:shd w:fill="f5f5f5" w:val="clear"/>
          <w:rtl w:val="0"/>
        </w:rPr>
        <w:t xml:space="preserve"> en toute circonstance </w:t>
      </w:r>
      <w:r w:rsidDel="00000000" w:rsidR="00000000" w:rsidRPr="00000000">
        <w:rPr>
          <w:rFonts w:ascii="Calibri" w:cs="Calibri" w:eastAsia="Calibri" w:hAnsi="Calibri"/>
          <w:color w:val="555555"/>
          <w:sz w:val="23"/>
          <w:szCs w:val="23"/>
          <w:u w:val="single"/>
          <w:shd w:fill="f5f5f5" w:val="clear"/>
          <w:rtl w:val="0"/>
        </w:rPr>
        <w:t xml:space="preserve">qu’un chien n’est pas ou ne sera pas dangereux</w:t>
      </w:r>
      <w:r w:rsidDel="00000000" w:rsidR="00000000" w:rsidRPr="00000000">
        <w:rPr>
          <w:rFonts w:ascii="Calibri" w:cs="Calibri" w:eastAsia="Calibri" w:hAnsi="Calibri"/>
          <w:color w:val="555555"/>
          <w:sz w:val="23"/>
          <w:szCs w:val="23"/>
          <w:shd w:fill="f5f5f5" w:val="clear"/>
          <w:rtl w:val="0"/>
        </w:rPr>
        <w:t xml:space="preserve">, strictement basé sur des caractéristiques physiques, tel qu’exigé par certaines municipalités. Nous invitons les municipalités à revoir ces dispositions et à développer les outils nécessaires avec les médecins vétérinaires qui pourront collaborer avec elles. </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Les médecins vétérinaires, notamment par leur formation initiale et la formation continue, ont un rôle important à jouer à cet égard. Nous rencontrons bon nombre de propriétaires canins dans nos établissements. Nous devons saisir ce moment privilégié, afin de prendre connaissance de la santé mentale de nos patients autant que de leur santé physique. Déjà, des premiers signes et des interrogations de la part des propriétaires peuvent nous mettre la puce à l’oreille pour discuter des différentes manifestations de réactivité et des différents types d’agression, certains normaux, mais d’autres évidemment plus à risque. Nous avons aussi une occasion de collaboration à saisir avec d’autres intervenants en comportement, les TSA et les éducateurs canins. </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Enfin, le sujet hautement sensible de l’euthanasie ne peut être ignoré. L’euthanasie d’animaux sains est un fardeau difficile à porter pour la profession, un acte qui découle directement de l’irresponsabilité d’un trop grand nombre de propriétaires. Plusieurs médecins vétérinaires refusent de faire ce type d’euthanasie. Ils ont alors le devoir d’informer le client sur les solutions de rechange qui s’offrent à lui, dont la possibilité de référer à un collègue, en ayant au préalable fait les démarches nécessaires auprès de ce dernier.</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Nous comprenons que la pression se fait déjà ressentir au sein des refuges québécois par les différentes annonces qui se sont succédé depuis le début de l’été : augmentation du nombre d’abandons et baisse de l’adoption de chiens de types pitbulls. Encore une fois, les règles déontologiques servent de guide pour les médecins vétérinaires. Mais quelles sont les choix qu’ils peuvent offrir lorsqu’ils font face à un dilemme éthique provoqué par les décisions qui sont hors de leur contrôle? Le fardeau de l’euthanasie d’un certain nombre de chiens basée sur des caractéristiques physiques ne peut être porté seulement par les médecins vétérinaires. Est-ce que ces chiens seront transportés vers d’autres lieux comme ce fut le cas pour de nombreux chiens de l’Ontario? Est-ce que d’autres méthodes d’euthanasie, qui seront jugées socialement acceptables, pourraient être envisagées? Voilà, en substance, ce que devront déterminer les autorités, advenant un abandon massif d’un type de chiens, une conséquence qui doit être prise en compte. </w:t>
      </w:r>
    </w:p>
    <w:p w:rsidR="00000000" w:rsidDel="00000000" w:rsidP="00000000" w:rsidRDefault="00000000" w:rsidRPr="00000000">
      <w:pPr>
        <w:spacing w:after="240" w:lineRule="auto"/>
        <w:contextualSpacing w:val="0"/>
      </w:pPr>
      <w:r w:rsidDel="00000000" w:rsidR="00000000" w:rsidRPr="00000000">
        <w:rPr>
          <w:rFonts w:ascii="Calibri" w:cs="Calibri" w:eastAsia="Calibri" w:hAnsi="Calibri"/>
          <w:color w:val="555555"/>
          <w:sz w:val="23"/>
          <w:szCs w:val="23"/>
          <w:shd w:fill="f5f5f5" w:val="clear"/>
          <w:rtl w:val="0"/>
        </w:rPr>
        <w:t xml:space="preserve">La profession vétérinaire maintient son engagement et sa pleine collaboration, afin d’offrir toute son expertise dans l’évolution de ce dossier d’importance pour la société québécoise.</w:t>
      </w:r>
    </w:p>
    <w:p w:rsidR="00000000" w:rsidDel="00000000" w:rsidP="00000000" w:rsidRDefault="00000000" w:rsidRPr="00000000">
      <w:pPr>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szCs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szCs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szCs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szCs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szCs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szCs w:val="26"/>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s://www.omvq.qc.ca/nouvelles-membre/nouvelles-et-evenements/161-encadrement-des-chiens-dangereux-devoirs-deontologiques-et-demandes-aux-autorites.html" TargetMode="External"/><Relationship Id="rId6" Type="http://schemas.openxmlformats.org/officeDocument/2006/relationships/hyperlink" Target="https://www.omvq.qc.ca/nouvelles-membre/nouvelles-et-evenements/161-encadrement-des-chiens-dangereux-devoirs-deontologiques-et-demandes-aux-autorites.html" TargetMode="External"/></Relationships>
</file>